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645" w:rsidRDefault="00B00645" w:rsidP="00B00645">
      <w:pPr>
        <w:rPr>
          <w:rFonts w:cs="David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cs="David" w:hint="cs"/>
          <w:b/>
          <w:bCs/>
          <w:sz w:val="32"/>
          <w:szCs w:val="32"/>
          <w:u w:val="single"/>
          <w:rtl/>
        </w:rPr>
        <w:t xml:space="preserve">א.4. סל שירותי סיוע בקרן סיעוד </w:t>
      </w:r>
    </w:p>
    <w:p w:rsidR="00B00645" w:rsidRDefault="00B00645" w:rsidP="00B00645">
      <w:pPr>
        <w:rPr>
          <w:rFonts w:cs="David"/>
          <w:b/>
          <w:bCs/>
          <w:sz w:val="16"/>
          <w:szCs w:val="16"/>
          <w:u w:val="single"/>
          <w:rtl/>
        </w:rPr>
      </w:pPr>
    </w:p>
    <w:p w:rsidR="00B00645" w:rsidRDefault="00B00645" w:rsidP="00B00645">
      <w:pPr>
        <w:rPr>
          <w:rFonts w:cs="David"/>
          <w:b/>
          <w:bCs/>
          <w:u w:val="single"/>
          <w:rtl/>
        </w:rPr>
      </w:pPr>
      <w:r>
        <w:rPr>
          <w:rFonts w:cs="David" w:hint="cs"/>
          <w:b/>
          <w:bCs/>
          <w:u w:val="single"/>
          <w:rtl/>
        </w:rPr>
        <w:t>גרסה מעודכנת ל – 12/2013</w:t>
      </w:r>
    </w:p>
    <w:p w:rsidR="00B00645" w:rsidRDefault="00B00645" w:rsidP="00B00645">
      <w:pPr>
        <w:rPr>
          <w:rFonts w:cs="David"/>
          <w:b/>
          <w:bCs/>
          <w:sz w:val="16"/>
          <w:szCs w:val="16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sz w:val="20"/>
          <w:szCs w:val="20"/>
          <w:u w:val="single"/>
          <w:rtl/>
        </w:rPr>
      </w:pPr>
      <w:r>
        <w:rPr>
          <w:rFonts w:ascii="Albertus Medium" w:hAnsi="Albertus Medium" w:cs="David Transparent" w:hint="cs"/>
          <w:b/>
          <w:bCs/>
          <w:sz w:val="20"/>
          <w:szCs w:val="20"/>
          <w:u w:val="single"/>
          <w:rtl/>
        </w:rPr>
        <w:t>הערות כלליות:</w:t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  <w:r>
        <w:rPr>
          <w:rFonts w:ascii="Albertus Medium" w:hAnsi="Albertus Medium" w:cs="David Transparent" w:hint="cs"/>
          <w:sz w:val="20"/>
          <w:szCs w:val="20"/>
          <w:rtl/>
        </w:rPr>
        <w:t xml:space="preserve">1.  רף הסיוע המקסימלי של הסיוע הציבורי מגיע ל </w:t>
      </w:r>
      <w:r>
        <w:rPr>
          <w:rFonts w:ascii="Albertus Medium" w:hAnsi="Albertus Medium" w:cs="David Transparent" w:hint="cs"/>
          <w:b/>
          <w:bCs/>
          <w:sz w:val="20"/>
          <w:szCs w:val="20"/>
          <w:u w:val="single"/>
          <w:rtl/>
        </w:rPr>
        <w:t>– 3,250,000 ש"ח</w:t>
      </w:r>
      <w:r>
        <w:rPr>
          <w:rFonts w:ascii="Albertus Medium" w:hAnsi="Albertus Medium" w:cs="David Transparent" w:hint="cs"/>
          <w:sz w:val="20"/>
          <w:szCs w:val="20"/>
          <w:rtl/>
        </w:rPr>
        <w:t xml:space="preserve"> במחירי  11/2013.</w:t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  <w:r>
        <w:rPr>
          <w:rFonts w:ascii="Albertus Medium" w:hAnsi="Albertus Medium" w:cs="David Transparent" w:hint="cs"/>
          <w:sz w:val="20"/>
          <w:szCs w:val="20"/>
          <w:rtl/>
        </w:rPr>
        <w:t>2.  בידי הקרן נשאר שיקול דעת  לתחומי סיוע בהתאם לאישור הועדות.</w:t>
      </w:r>
    </w:p>
    <w:p w:rsidR="00B00645" w:rsidRDefault="00B00645" w:rsidP="00B00645">
      <w:pPr>
        <w:tabs>
          <w:tab w:val="left" w:pos="3158"/>
        </w:tabs>
        <w:ind w:right="1800"/>
        <w:rPr>
          <w:rFonts w:cs="David Transparent"/>
          <w:sz w:val="20"/>
          <w:szCs w:val="20"/>
          <w:rtl/>
        </w:rPr>
      </w:pPr>
      <w:r>
        <w:rPr>
          <w:rFonts w:ascii="Albertus Medium" w:hAnsi="Albertus Medium" w:cs="David Transparent" w:hint="cs"/>
          <w:sz w:val="20"/>
          <w:szCs w:val="20"/>
          <w:rtl/>
        </w:rPr>
        <w:t>3.</w:t>
      </w:r>
      <w:r>
        <w:rPr>
          <w:rFonts w:cs="David Transparent" w:hint="cs"/>
          <w:sz w:val="20"/>
          <w:szCs w:val="20"/>
          <w:rtl/>
        </w:rPr>
        <w:t xml:space="preserve"> הגרסה תתעדכן אחת לשנה בחודש ראשון של השנה.</w:t>
      </w:r>
    </w:p>
    <w:p w:rsidR="00B00645" w:rsidRDefault="00B00645" w:rsidP="00B00645">
      <w:pPr>
        <w:tabs>
          <w:tab w:val="left" w:pos="3158"/>
        </w:tabs>
        <w:ind w:right="1800"/>
        <w:rPr>
          <w:rFonts w:cs="David Transparent"/>
          <w:sz w:val="12"/>
          <w:szCs w:val="12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sz w:val="28"/>
          <w:szCs w:val="28"/>
          <w:u w:val="single"/>
        </w:rPr>
      </w:pPr>
      <w:r>
        <w:rPr>
          <w:rFonts w:ascii="Albertus Medium" w:hAnsi="Albertus Medium" w:cs="David Transparent" w:hint="cs"/>
          <w:b/>
          <w:bCs/>
          <w:sz w:val="28"/>
          <w:szCs w:val="28"/>
          <w:u w:val="single"/>
          <w:rtl/>
        </w:rPr>
        <w:t>1.תחום מוסדי</w:t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sz w:val="12"/>
          <w:szCs w:val="12"/>
          <w:u w:val="single"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u w:val="single"/>
          <w:rtl/>
        </w:rPr>
      </w:pPr>
      <w:r>
        <w:rPr>
          <w:rFonts w:ascii="Albertus Medium" w:hAnsi="Albertus Medium" w:cs="David Transparent" w:hint="cs"/>
          <w:b/>
          <w:bCs/>
          <w:u w:val="single"/>
          <w:rtl/>
        </w:rPr>
        <w:t>א. בתי אבות ציבוריים</w:t>
      </w:r>
      <w:r>
        <w:rPr>
          <w:rFonts w:ascii="Albertus Medium" w:hAnsi="Albertus Medium" w:cs="David Transparent" w:hint="cs"/>
          <w:u w:val="single"/>
          <w:rtl/>
        </w:rPr>
        <w:t xml:space="preserve"> </w:t>
      </w:r>
      <w:r>
        <w:rPr>
          <w:rFonts w:ascii="Albertus Medium" w:hAnsi="Albertus Medium" w:cs="David Transparent" w:hint="cs"/>
          <w:b/>
          <w:bCs/>
          <w:u w:val="single"/>
          <w:rtl/>
        </w:rPr>
        <w:t xml:space="preserve">ומוסדות </w:t>
      </w:r>
      <w:proofErr w:type="spellStart"/>
      <w:r>
        <w:rPr>
          <w:rFonts w:ascii="Albertus Medium" w:hAnsi="Albertus Medium" w:cs="David Transparent" w:hint="cs"/>
          <w:b/>
          <w:bCs/>
          <w:u w:val="single"/>
          <w:rtl/>
        </w:rPr>
        <w:t>גריאטרים</w:t>
      </w:r>
      <w:proofErr w:type="spellEnd"/>
      <w:r>
        <w:rPr>
          <w:rFonts w:ascii="Albertus Medium" w:hAnsi="Albertus Medium" w:cs="David Transparent" w:hint="cs"/>
          <w:b/>
          <w:bCs/>
          <w:u w:val="single"/>
          <w:rtl/>
        </w:rPr>
        <w:t>:</w:t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</w:p>
    <w:tbl>
      <w:tblPr>
        <w:bidiVisual/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9"/>
        <w:gridCol w:w="4499"/>
        <w:gridCol w:w="3887"/>
      </w:tblGrid>
      <w:tr w:rsidR="00B00645" w:rsidTr="00B00645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תחומי סיוע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אחוז הסיוע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61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תנאי הסיוע</w:t>
            </w:r>
          </w:p>
        </w:tc>
      </w:tr>
      <w:tr w:rsidR="00B00645" w:rsidTr="00B00645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1. </w:t>
            </w:r>
            <w:r>
              <w:rPr>
                <w:rFonts w:ascii="Albertus Medium" w:hAnsi="Albertus Medium" w:cs="David Transparent" w:hint="cs"/>
                <w:sz w:val="20"/>
                <w:szCs w:val="20"/>
                <w:u w:val="single"/>
                <w:rtl/>
              </w:rPr>
              <w:t>שדרוג ושחלוף מחלקות: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על פי סטנדרטים של משרדי ממשלה מתוך הנחיות תכנון מחלקות, מ' הבריאות 2/02 .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2. </w:t>
            </w:r>
            <w:r>
              <w:rPr>
                <w:rFonts w:ascii="Albertus Medium" w:hAnsi="Albertus Medium" w:cs="David Transparent" w:hint="cs"/>
                <w:sz w:val="20"/>
                <w:szCs w:val="20"/>
                <w:u w:val="single"/>
                <w:rtl/>
              </w:rPr>
              <w:t>בניית תוספת מיטות: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על פי צרכים אזוריים, ובאזורי כשל שוק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3. הסבת מיטות: על פי הצרכים.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4. </w:t>
            </w:r>
            <w:r>
              <w:rPr>
                <w:rFonts w:ascii="Albertus Medium" w:hAnsi="Albertus Medium" w:cs="David Transparent" w:hint="cs"/>
                <w:sz w:val="20"/>
                <w:szCs w:val="20"/>
                <w:u w:val="single"/>
                <w:rtl/>
              </w:rPr>
              <w:t>תשתיות: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צנרות של מים וחשמל, מערכות של גילוי אש ועשן, חדרי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כביסה+מכונות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, מטבח – בניה והצטיידות, חידוש ותוספת מעליות, חדרי גנרטור, מערכות ביוב ומיזוג, מערכת כריזה, חדר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סנוזלן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וחדרי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מינהלה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+ הנגשה רב חושית.</w:t>
            </w:r>
          </w:p>
          <w:p w:rsidR="00B00645" w:rsidRDefault="00B00645">
            <w:pPr>
              <w:tabs>
                <w:tab w:val="left" w:pos="333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5. </w:t>
            </w:r>
            <w:r>
              <w:rPr>
                <w:rFonts w:ascii="Albertus Medium" w:hAnsi="Albertus Medium" w:cs="David Transparent" w:hint="cs"/>
                <w:sz w:val="20"/>
                <w:szCs w:val="20"/>
                <w:u w:val="single"/>
                <w:rtl/>
              </w:rPr>
              <w:t>פיתוח סביבתי: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גינות, גינון טיפולי, פרגולות, וחיפוי חיצוני למבנה.</w:t>
            </w:r>
          </w:p>
          <w:p w:rsidR="00B00645" w:rsidRDefault="00B00645" w:rsidP="003A53AD">
            <w:pPr>
              <w:tabs>
                <w:tab w:val="left" w:pos="333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u w:val="single"/>
                <w:rtl/>
              </w:rPr>
              <w:t>6. הצטיידות: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ריהוט, </w:t>
            </w:r>
            <w:r w:rsidR="003A53AD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מכשור חשמלי, 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אביזרי</w:t>
            </w:r>
            <w:r w:rsidR="003A53AD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ם, ציוד </w:t>
            </w:r>
            <w:proofErr w:type="spellStart"/>
            <w:r w:rsidR="003A53AD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פיזיוטרפי</w:t>
            </w:r>
            <w:proofErr w:type="spellEnd"/>
            <w:r w:rsidR="003A53AD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, מכשור רפואי 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בהתאם לדרישת המשרדים.</w:t>
            </w:r>
          </w:p>
          <w:p w:rsidR="00B00645" w:rsidRDefault="00B00645">
            <w:pPr>
              <w:tabs>
                <w:tab w:val="left" w:pos="333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7. הדרכות לצוותים.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45" w:rsidRDefault="00B00645" w:rsidP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50%-70%  על פי קריטריונים שייקבעו, כולל אישור רו"ח. הסיוע יינתן באיגום משאבים ציבוריים.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שני מקרים חריגים בשנה יוכלו לקבל סיוע של עד 90% , באיגום משאבים. 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לפחות 50% מהדיירים יהיו מהרשימה הציבורית.</w:t>
            </w:r>
          </w:p>
          <w:p w:rsidR="00B00645" w:rsidRDefault="003A53AD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לאחר בדיקת רו"ח מטעם האגף ואישורו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</w:p>
          <w:p w:rsidR="00B00645" w:rsidRDefault="00B00645">
            <w:pPr>
              <w:tabs>
                <w:tab w:val="left" w:pos="3158"/>
              </w:tabs>
              <w:ind w:right="252"/>
              <w:rPr>
                <w:rFonts w:ascii="Albertus Medium" w:hAnsi="Albertus Medium" w:cs="David Transparent"/>
                <w:sz w:val="20"/>
                <w:szCs w:val="20"/>
              </w:rPr>
            </w:pPr>
          </w:p>
        </w:tc>
      </w:tr>
      <w:tr w:rsidR="00B00645" w:rsidTr="00B00645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7. </w:t>
            </w:r>
            <w:r>
              <w:rPr>
                <w:rFonts w:ascii="Albertus Medium" w:hAnsi="Albertus Medium" w:cs="David Transparent" w:hint="cs"/>
                <w:sz w:val="20"/>
                <w:szCs w:val="20"/>
                <w:u w:val="single"/>
                <w:rtl/>
              </w:rPr>
              <w:t>מיגון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: מיגון רק במקרים בהם יש שדרוג/שחלוף או הקמת מחלקות.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</w:p>
        </w:tc>
      </w:tr>
    </w:tbl>
    <w:p w:rsidR="00B00645" w:rsidRDefault="00B00645" w:rsidP="00B00645">
      <w:pPr>
        <w:jc w:val="both"/>
        <w:rPr>
          <w:rFonts w:cs="David"/>
          <w:b/>
          <w:bCs/>
          <w:sz w:val="12"/>
          <w:szCs w:val="12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u w:val="single"/>
          <w:rtl/>
        </w:rPr>
      </w:pPr>
      <w:r>
        <w:rPr>
          <w:rFonts w:ascii="Albertus Medium" w:hAnsi="Albertus Medium" w:cs="David Transparent" w:hint="cs"/>
          <w:b/>
          <w:bCs/>
          <w:u w:val="single"/>
          <w:rtl/>
        </w:rPr>
        <w:t>ב. בתי אבות פרטיים:</w:t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16"/>
          <w:szCs w:val="16"/>
          <w:rtl/>
        </w:rPr>
      </w:pPr>
    </w:p>
    <w:tbl>
      <w:tblPr>
        <w:bidiVisual/>
        <w:tblW w:w="146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0"/>
        <w:gridCol w:w="4500"/>
        <w:gridCol w:w="3960"/>
      </w:tblGrid>
      <w:tr w:rsidR="00B00645" w:rsidTr="00B00645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תחומי סיוע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אחוז הסיוע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43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תנאי הסיוע</w:t>
            </w:r>
          </w:p>
        </w:tc>
      </w:tr>
      <w:tr w:rsidR="00B00645" w:rsidTr="00B00645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1. תשתיות: צנרות של מים וחשמל, מערכות של גילוי אש ועשן, חדרי כביסה + מכונות, מטבח – בניה והצטיידות, חידוש ותוספת מעליות, חדרי גנרטור, מערכות ביוב ומיזוג + הנגשה רב חושית.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2. הצטיידות: לשטחים ציבוריים לתועלת ישירה של המשתכנים. לא יינתן ציוד לטובת מנהלה והנהלה. לא יינתן ציוד רפואי בסיסי לתפעול מח' סיעודיות (למעט כורסאות טיפוליות), אשר נמצאים בתנאי מכרז. לא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ינתן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סיוע לשיפור חיצוני אלא לשטחים שלתועלת ישירה של המשתכנים.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50% סיוע מעלות התוכנית, עד רף של 500,000 ש"ח במחירי 4/2013 הנמוך מבין השניים.  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איגום משאבים ציבוריים.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43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1. פועל ברישוי לפחות שנתיים.</w:t>
            </w:r>
          </w:p>
          <w:p w:rsidR="00B00645" w:rsidRDefault="00B00645">
            <w:pPr>
              <w:tabs>
                <w:tab w:val="left" w:pos="3158"/>
              </w:tabs>
              <w:ind w:right="43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2. 50% מהדיירים בבית אבות הם</w:t>
            </w:r>
          </w:p>
          <w:p w:rsidR="00B00645" w:rsidRDefault="00B00645">
            <w:pPr>
              <w:tabs>
                <w:tab w:val="left" w:pos="3158"/>
              </w:tabs>
              <w:ind w:right="43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  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מופני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הרשימה הציבורית.</w:t>
            </w:r>
          </w:p>
          <w:p w:rsidR="00B00645" w:rsidRDefault="00B00645">
            <w:pPr>
              <w:tabs>
                <w:tab w:val="left" w:pos="3158"/>
              </w:tabs>
              <w:ind w:right="43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3. אין גביה מעל לעלות קוד / מכסה.</w:t>
            </w:r>
          </w:p>
        </w:tc>
      </w:tr>
      <w:tr w:rsidR="00B00645" w:rsidTr="00B00645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3. מיגון רק במקרים בהם מתנהל שיפוץ, שדרוג.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1816"/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</w:p>
        </w:tc>
      </w:tr>
      <w:tr w:rsidR="00B00645" w:rsidTr="00B00645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4. הדרכות לצוותים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45" w:rsidRDefault="00B00645">
            <w:pPr>
              <w:tabs>
                <w:tab w:val="left" w:pos="1816"/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</w:p>
        </w:tc>
      </w:tr>
    </w:tbl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u w:val="single"/>
          <w:rtl/>
        </w:rPr>
      </w:pPr>
      <w:r>
        <w:rPr>
          <w:rFonts w:ascii="Albertus Medium" w:hAnsi="Albertus Medium" w:cs="David Transparent" w:hint="cs"/>
          <w:b/>
          <w:bCs/>
          <w:u w:val="single"/>
          <w:rtl/>
        </w:rPr>
        <w:t>ג. בתי אבות לסיעוד מורכב ו/או שיקומיים / מונשמים</w:t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</w:p>
    <w:tbl>
      <w:tblPr>
        <w:bidiVisual/>
        <w:tblW w:w="145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9"/>
        <w:gridCol w:w="4499"/>
        <w:gridCol w:w="3887"/>
      </w:tblGrid>
      <w:tr w:rsidR="00B00645" w:rsidTr="00B00645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תחומי סיוע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אחוז הסיוע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תנאי הסיוע</w:t>
            </w:r>
          </w:p>
        </w:tc>
      </w:tr>
      <w:tr w:rsidR="00B00645" w:rsidTr="00B00645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1. שדרוג ושחלוף מחלקות: על פי סטנדרטים של משרדי ממשלה.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2. בניית תוספת מיטות: על פי צרכים אזוריים, ובאזורי כשל שוק.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3. תשתיות: צנרות של מים וחשמל, מערכות של גילוי אש ועשן, חדרי כביסה + מכונות, מטבח – בניה והצטיידות, חידוש ותוספת מעליות, חדרי גנרטור, מערכות ביוב ומיזוג.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5. פיתוח סביבתי: גינות, גינון טיפולי, פרגולות.</w:t>
            </w:r>
          </w:p>
          <w:p w:rsidR="00B00645" w:rsidRDefault="00B00645" w:rsidP="003A53AD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6. הצטיידות: ריהוט, </w:t>
            </w:r>
            <w:r w:rsidR="003A53AD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מכשור חשמלי, 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אביזרים, ציוד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פיזיוטרפי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, מכשור רפואי.</w:t>
            </w:r>
          </w:p>
        </w:tc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 w:rsidP="003A53AD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עד 1 מיליון ש"ח לפרויקט </w:t>
            </w:r>
            <w:r w:rsidR="003A53AD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או 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עד 50% מעלות התוכנית</w:t>
            </w:r>
            <w:r w:rsidR="003A53AD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,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הנמוך מבין שניהם.</w:t>
            </w:r>
          </w:p>
        </w:tc>
        <w:tc>
          <w:tcPr>
            <w:tcW w:w="3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1.המוסד פועל כיחידה כלכלית 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  עצמאית.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2. המוסד נמצא במבנה פיזי נפרד.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3. לפחות 90% מהדיירים הם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   קשישים.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4. הרישוי של המוסד מוגדר כרישוי למרכז גריאטרי.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</w:t>
            </w:r>
          </w:p>
        </w:tc>
      </w:tr>
    </w:tbl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u w:val="single"/>
          <w:rtl/>
        </w:rPr>
      </w:pPr>
      <w:r>
        <w:rPr>
          <w:rFonts w:ascii="Albertus Medium" w:hAnsi="Albertus Medium" w:cs="David Transparent" w:hint="cs"/>
          <w:b/>
          <w:bCs/>
          <w:u w:val="single"/>
          <w:rtl/>
        </w:rPr>
        <w:t>ד. בתים סיעודיים בקיבוצים</w:t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</w:p>
    <w:tbl>
      <w:tblPr>
        <w:bidiVisual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50"/>
        <w:gridCol w:w="4320"/>
        <w:gridCol w:w="3960"/>
      </w:tblGrid>
      <w:tr w:rsidR="00B00645" w:rsidTr="00B00645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תחומי סיוע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אחוז הסיוע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left="16" w:right="1152" w:hanging="16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תנאי הסיוע</w:t>
            </w:r>
          </w:p>
        </w:tc>
      </w:tr>
      <w:tr w:rsidR="00B00645" w:rsidTr="00B00645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1. שדרוג ושחלוף מחלקות ושטחים ציבוריים: על פי סטנדרטים של משרדי ממשלה.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2. בניית תוספת מיטות: על פי צרכים אזוריים, בהסכמת המשרדים.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3. הסבת מיטות: על פי הצרכים.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4. תשתיות: צנרות של מים וחשמל, מערכות של גילוי אש ועשן, חדרי כביסה + מכונות, מטבח – בניה והצטיידות, חידוש ותוספת מעליות, חדרי גנרטור, מערכות ביוב ומיזוג.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5. פיתוח סביבתי: גינות, גינון טיפולי, פרגולות.</w:t>
            </w:r>
          </w:p>
          <w:p w:rsidR="00B00645" w:rsidRDefault="00B00645" w:rsidP="003A53AD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6. הצטיידות: ריהוט, מכש</w:t>
            </w:r>
            <w:r w:rsidR="003A53AD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ו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ר חשמלי, אביזרים, ציוד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פיזיוטרפי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, מכשור רפואי.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45" w:rsidRDefault="00B00645">
            <w:pPr>
              <w:tabs>
                <w:tab w:val="left" w:pos="3158"/>
              </w:tabs>
              <w:ind w:right="128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גובה הסיוע המקסימאלי יהיה 50%  מהעלות הכוללת של התוכנית או עד רף של  70,000 ש"ח במחירי 11/2013 עבור כל מיטה ברישוי לשיפוץ מיטות ושטחים ציבוריים. </w:t>
            </w:r>
          </w:p>
          <w:p w:rsidR="00B00645" w:rsidRDefault="00B00645">
            <w:pPr>
              <w:tabs>
                <w:tab w:val="left" w:pos="3158"/>
              </w:tabs>
              <w:ind w:right="128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במידה והשיפוץ לא כולל שטחים ציבוריים הרף יהיה 38,500 ש"ח במחירי 11/2013 לכל מיטה ברישוי .</w:t>
            </w:r>
          </w:p>
          <w:p w:rsidR="00B00645" w:rsidRDefault="00B00645">
            <w:pPr>
              <w:tabs>
                <w:tab w:val="left" w:pos="3158"/>
              </w:tabs>
              <w:ind w:right="128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באיגום משאבים ציבוריים.</w:t>
            </w:r>
          </w:p>
          <w:p w:rsidR="00B00645" w:rsidRDefault="00B00645">
            <w:pPr>
              <w:tabs>
                <w:tab w:val="left" w:pos="3158"/>
              </w:tabs>
              <w:ind w:right="128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עד 18 מיטות פחות מגודל מחלקה סטנדרטית עד 800,000 ש"ח</w:t>
            </w:r>
          </w:p>
          <w:p w:rsidR="00B00645" w:rsidRDefault="00B00645">
            <w:pPr>
              <w:tabs>
                <w:tab w:val="left" w:pos="3158"/>
              </w:tabs>
              <w:ind w:right="128"/>
              <w:rPr>
                <w:rFonts w:ascii="Albertus Medium" w:hAnsi="Albertus Medium" w:cs="David Transparent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1. בית שפועל ברישוי.</w:t>
            </w:r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2. 50% דיירים קשישים מהרשימה הציבורית, 25% דיירים שהם חברי קיבוץ או הוריהם, 50% רשימה ציבורית, חברי קיבוץ לפחות 30%.</w:t>
            </w:r>
          </w:p>
          <w:p w:rsidR="00B00645" w:rsidRDefault="003A53AD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3. </w:t>
            </w:r>
            <w:r w:rsidR="00B00645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איגום משאבים ציבוריים.</w:t>
            </w:r>
          </w:p>
          <w:p w:rsidR="00B00645" w:rsidRDefault="003A53AD" w:rsidP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4</w:t>
            </w:r>
            <w:r w:rsidR="00B00645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. בית האבות מופעל על ידי הקיבוץ או באמצעות קניית שירותים</w:t>
            </w:r>
          </w:p>
          <w:p w:rsidR="00B00645" w:rsidRDefault="003A53AD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5</w:t>
            </w:r>
            <w:r w:rsidR="00B00645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. תינתן עדיפות לבתים סיעודיים אזוריים.</w:t>
            </w:r>
          </w:p>
          <w:p w:rsidR="00B00645" w:rsidRDefault="003A53AD" w:rsidP="003A53AD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6</w:t>
            </w:r>
            <w:r w:rsidR="00B00645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. לאחר בדיקת רו"ח 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מטעם</w:t>
            </w:r>
            <w:r w:rsidR="00B00645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האגף ואישורו.</w:t>
            </w:r>
          </w:p>
        </w:tc>
      </w:tr>
      <w:tr w:rsidR="00B00645" w:rsidTr="00B00645">
        <w:tc>
          <w:tcPr>
            <w:tcW w:w="6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 w:rsidP="003A53AD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7. מיגון באזורי עימות כחלק מתוכנית הסיוע </w:t>
            </w:r>
            <w:r w:rsidR="003A53AD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רק במקרים בהם מתנהל שיפוץ, </w:t>
            </w:r>
            <w:proofErr w:type="spellStart"/>
            <w:r w:rsidR="003A53AD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שידרוג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(על פי קביעת אזורים מועדפים  על ידי הממשלה).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</w:p>
        </w:tc>
      </w:tr>
    </w:tbl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</w:p>
    <w:p w:rsidR="003A53AD" w:rsidRDefault="003A53AD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</w:p>
    <w:p w:rsidR="003A53AD" w:rsidRDefault="003A53AD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</w:p>
    <w:p w:rsidR="003A53AD" w:rsidRDefault="003A53AD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</w:p>
    <w:p w:rsidR="00B00645" w:rsidRDefault="00B00645" w:rsidP="00B00645">
      <w:pPr>
        <w:tabs>
          <w:tab w:val="left" w:pos="79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  <w:r>
        <w:rPr>
          <w:rFonts w:ascii="Albertus Medium" w:hAnsi="Albertus Medium" w:cs="David Transparent" w:hint="cs"/>
          <w:b/>
          <w:bCs/>
          <w:sz w:val="28"/>
          <w:szCs w:val="28"/>
          <w:u w:val="single"/>
          <w:rtl/>
        </w:rPr>
        <w:lastRenderedPageBreak/>
        <w:t>2.התחום הקהילתי</w:t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u w:val="single"/>
          <w:rtl/>
        </w:rPr>
      </w:pPr>
      <w:r>
        <w:rPr>
          <w:rFonts w:ascii="Albertus Medium" w:hAnsi="Albertus Medium" w:cs="David Transparent" w:hint="cs"/>
          <w:b/>
          <w:bCs/>
          <w:u w:val="single"/>
          <w:rtl/>
        </w:rPr>
        <w:t>א. מרכזי יום</w:t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3A53AD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  <w:r>
        <w:rPr>
          <w:rFonts w:ascii="Albertus Medium" w:hAnsi="Albertus Medium" w:cs="David Transparent" w:hint="cs"/>
          <w:sz w:val="20"/>
          <w:szCs w:val="20"/>
          <w:u w:val="single"/>
          <w:rtl/>
        </w:rPr>
        <w:t>גדלים</w:t>
      </w:r>
      <w:r w:rsidR="003A53AD">
        <w:rPr>
          <w:rFonts w:ascii="Albertus Medium" w:hAnsi="Albertus Medium" w:cs="David Transparent" w:hint="cs"/>
          <w:sz w:val="20"/>
          <w:szCs w:val="20"/>
          <w:u w:val="single"/>
          <w:rtl/>
        </w:rPr>
        <w:t xml:space="preserve"> *:</w:t>
      </w:r>
      <w:r>
        <w:rPr>
          <w:rFonts w:ascii="Albertus Medium" w:hAnsi="Albertus Medium" w:cs="David Transparent" w:hint="cs"/>
          <w:sz w:val="20"/>
          <w:szCs w:val="20"/>
          <w:u w:val="single"/>
          <w:rtl/>
        </w:rPr>
        <w:t xml:space="preserve"> </w:t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69"/>
        <w:gridCol w:w="3780"/>
        <w:gridCol w:w="4320"/>
        <w:gridCol w:w="3960"/>
      </w:tblGrid>
      <w:tr w:rsidR="00B00645" w:rsidTr="00B00645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391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קטן (נטו)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92"/>
                <w:tab w:val="left" w:pos="1692"/>
                <w:tab w:val="left" w:pos="3158"/>
              </w:tabs>
              <w:ind w:right="1124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בינוני (נטו)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גדול (נטו)</w:t>
            </w:r>
          </w:p>
        </w:tc>
      </w:tr>
      <w:tr w:rsidR="00B00645" w:rsidTr="00B00645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204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תשושים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420 מ"ר עד 60  קשישים ליום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590 מ"ר 60-90 קשישים ליום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740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מ'ר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90-130 קשישים ליום</w:t>
            </w:r>
          </w:p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</w:p>
        </w:tc>
      </w:tr>
      <w:tr w:rsidR="00B00645" w:rsidTr="00B00645"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933"/>
              <w:rPr>
                <w:rFonts w:ascii="Albertus Medium" w:hAnsi="Albertus Medium" w:cs="David Transparent"/>
                <w:sz w:val="20"/>
                <w:szCs w:val="20"/>
              </w:rPr>
            </w:pP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תשושי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נפש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160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מ'ר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עד 15 קשישים ליום (אגף במרכז יום) בתוספת למרכז יום קיים לא הקמה נפרדת.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255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מ'ר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עד 30 קשישים ליום כאגף או מרכז יום עצמאי </w:t>
            </w:r>
          </w:p>
        </w:tc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420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מ'ר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עד 45 קשישים ליום כאגף או מרכז עצמאי</w:t>
            </w:r>
          </w:p>
        </w:tc>
      </w:tr>
    </w:tbl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  <w:r>
        <w:rPr>
          <w:rFonts w:ascii="Albertus Medium" w:hAnsi="Albertus Medium" w:cs="David Transparent" w:hint="cs"/>
          <w:sz w:val="20"/>
          <w:szCs w:val="20"/>
          <w:rtl/>
        </w:rPr>
        <w:tab/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</w:p>
    <w:tbl>
      <w:tblPr>
        <w:bidiVisual/>
        <w:tblW w:w="14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70"/>
        <w:gridCol w:w="3420"/>
        <w:gridCol w:w="6840"/>
      </w:tblGrid>
      <w:tr w:rsidR="00B00645" w:rsidTr="00B00645"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תחומי הסיוע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1692"/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אחוז  הסיוע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תנאי הסיוע</w:t>
            </w:r>
          </w:p>
        </w:tc>
      </w:tr>
      <w:tr w:rsidR="00B00645" w:rsidTr="00B00645"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בניה חדשה והרחבה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שדרוגים ושיפוצים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1512"/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בהתאם לאשכולות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הלמ"ס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</w:t>
            </w:r>
            <w:r>
              <w:rPr>
                <w:rFonts w:ascii="Albertus Medium" w:hAnsi="Albertus Medium" w:cs="David Transparent" w:hint="cs"/>
                <w:b/>
                <w:bCs/>
                <w:sz w:val="20"/>
                <w:szCs w:val="20"/>
                <w:rtl/>
              </w:rPr>
              <w:t>*</w:t>
            </w:r>
            <w:r w:rsidR="003A53AD">
              <w:rPr>
                <w:rFonts w:ascii="Albertus Medium" w:hAnsi="Albertus Medium" w:cs="David Transparent" w:hint="cs"/>
                <w:b/>
                <w:bCs/>
                <w:sz w:val="20"/>
                <w:szCs w:val="20"/>
                <w:rtl/>
              </w:rPr>
              <w:t>*</w:t>
            </w:r>
          </w:p>
          <w:p w:rsidR="00B00645" w:rsidRDefault="00B00645">
            <w:pPr>
              <w:tabs>
                <w:tab w:val="left" w:pos="1512"/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1-4 90%</w:t>
            </w:r>
          </w:p>
          <w:p w:rsidR="00B00645" w:rsidRDefault="00B00645">
            <w:pPr>
              <w:tabs>
                <w:tab w:val="left" w:pos="1512"/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5-7 80%</w:t>
            </w:r>
          </w:p>
          <w:p w:rsidR="00B00645" w:rsidRDefault="00B00645">
            <w:pPr>
              <w:tabs>
                <w:tab w:val="left" w:pos="1512"/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8-10 70%</w:t>
            </w:r>
          </w:p>
          <w:p w:rsidR="00B00645" w:rsidRDefault="00B00645">
            <w:pPr>
              <w:tabs>
                <w:tab w:val="left" w:pos="1512"/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באיגום משאבים ציבוריים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על פי נתוני הישוב באגף סיעוד ומשרד הרווחה, ותפוסה במרכזי יום קיימים באזור.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הקמה תתבצע רק אם יש פוטנציאל של מינימום 50 משתמשים שהם זכאי חוק סיעוד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ומופני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רווחה, אשר מהווים עשרה אחוז מסך זכאי חוק סיעוד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ומופני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רווחה המתגוררים באזור (*).</w:t>
            </w:r>
          </w:p>
        </w:tc>
      </w:tr>
      <w:tr w:rsidR="00B00645" w:rsidTr="00B00645"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תשתיות: צנרות של מים וחשמל, מערכות של גילוי א</w:t>
            </w:r>
            <w:r w:rsidR="003A53AD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ש ועשן, חדרי כביסה +מכונ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</w:t>
            </w:r>
            <w:r w:rsidR="00D7249E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ייבוש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, מטבח – בניה והצטיידות, חידוש ותוספת מעליות, מערכות ביוב ומיזוג, מיגון.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פיתוח סביבתי: גינות, גינון טיפולי, פרגולות.</w:t>
            </w:r>
          </w:p>
          <w:p w:rsidR="00B00645" w:rsidRDefault="00B00645" w:rsidP="00D7249E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הצטיידות: ריהוט, </w:t>
            </w:r>
            <w:r w:rsidR="00D7249E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מכשירים חשמליים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, ציוד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פיזיוטרפי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, מכשור רפואי.</w:t>
            </w:r>
          </w:p>
          <w:p w:rsidR="00D7249E" w:rsidRDefault="00B00645" w:rsidP="00D7249E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הנגשה: שמע, ראיה, נגישות פיזית</w:t>
            </w:r>
            <w:r w:rsidR="00D7249E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.</w:t>
            </w:r>
          </w:p>
          <w:p w:rsidR="00B00645" w:rsidRDefault="003A53AD" w:rsidP="00D7249E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ליחידות ת"נ - </w:t>
            </w:r>
            <w:r w:rsidR="00B00645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יחידות </w:t>
            </w:r>
            <w:proofErr w:type="spellStart"/>
            <w:r w:rsidR="00B00645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סנוזלן</w:t>
            </w:r>
            <w:proofErr w:type="spellEnd"/>
            <w:r w:rsidR="00B00645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.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בהתאם לאשכולות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הלמ"ס</w:t>
            </w:r>
            <w:proofErr w:type="spellEnd"/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90%1-4 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5-7 80%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8-10 70%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באיגום משאבים ציבוריים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 w:rsidP="00D7249E">
            <w:pPr>
              <w:tabs>
                <w:tab w:val="left" w:pos="2952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אחת לעשר שנים לגבי </w:t>
            </w:r>
            <w:r w:rsidR="00D7249E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מקומות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אשר ניתן סיוע בעבר.</w:t>
            </w:r>
          </w:p>
        </w:tc>
      </w:tr>
      <w:tr w:rsidR="00B00645" w:rsidTr="00B00645">
        <w:trPr>
          <w:trHeight w:val="392"/>
        </w:trPr>
        <w:tc>
          <w:tcPr>
            <w:tcW w:w="4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972"/>
              <w:rPr>
                <w:rFonts w:ascii="Albertus Medium" w:hAnsi="Albertus Medium" w:cs="David Transparent"/>
                <w:b/>
                <w:bCs/>
                <w:sz w:val="20"/>
                <w:szCs w:val="20"/>
                <w:u w:val="single"/>
              </w:rPr>
            </w:pPr>
            <w:proofErr w:type="spellStart"/>
            <w:r>
              <w:rPr>
                <w:rFonts w:ascii="Albertus Medium" w:hAnsi="Albertus Medium" w:cs="David Transparent" w:hint="cs"/>
                <w:b/>
                <w:bCs/>
                <w:u w:val="single"/>
                <w:rtl/>
              </w:rPr>
              <w:t>ב.מעלונים</w:t>
            </w:r>
            <w:proofErr w:type="spellEnd"/>
            <w:r>
              <w:rPr>
                <w:rFonts w:ascii="Albertus Medium" w:hAnsi="Albertus Medium" w:cs="David Transparent" w:hint="cs"/>
                <w:b/>
                <w:bCs/>
                <w:u w:val="single"/>
                <w:rtl/>
              </w:rPr>
              <w:t xml:space="preserve"> </w:t>
            </w:r>
            <w:proofErr w:type="spellStart"/>
            <w:r>
              <w:rPr>
                <w:rFonts w:ascii="Albertus Medium" w:hAnsi="Albertus Medium" w:cs="David Transparent" w:hint="cs"/>
                <w:b/>
                <w:bCs/>
                <w:u w:val="single"/>
                <w:rtl/>
              </w:rPr>
              <w:t>ואיבזור</w:t>
            </w:r>
            <w:proofErr w:type="spellEnd"/>
            <w:r>
              <w:rPr>
                <w:rFonts w:ascii="Albertus Medium" w:hAnsi="Albertus Medium" w:cs="David Transparent" w:hint="cs"/>
                <w:b/>
                <w:bCs/>
                <w:u w:val="single"/>
                <w:rtl/>
              </w:rPr>
              <w:t xml:space="preserve"> לרכב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75% סיוע מעלות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המעלון</w:t>
            </w:r>
            <w:proofErr w:type="spellEnd"/>
          </w:p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עד 120,000 ש"ח</w:t>
            </w:r>
          </w:p>
        </w:tc>
        <w:tc>
          <w:tcPr>
            <w:tcW w:w="6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רק במידה והוכח כי במרכז  יש אנשים הנזקקים לשרות זה.</w:t>
            </w:r>
          </w:p>
        </w:tc>
      </w:tr>
    </w:tbl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Pr="003A53AD" w:rsidRDefault="003A53AD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rtl/>
        </w:rPr>
      </w:pPr>
      <w:r>
        <w:rPr>
          <w:rFonts w:ascii="Albertus Medium" w:hAnsi="Albertus Medium" w:cs="David Transparent" w:hint="cs"/>
          <w:sz w:val="20"/>
          <w:szCs w:val="20"/>
          <w:rtl/>
        </w:rPr>
        <w:t xml:space="preserve">* </w:t>
      </w:r>
      <w:r w:rsidRPr="003A53AD">
        <w:rPr>
          <w:rFonts w:ascii="Albertus Medium" w:hAnsi="Albertus Medium" w:cs="David Transparent" w:hint="cs"/>
          <w:sz w:val="20"/>
          <w:szCs w:val="20"/>
          <w:rtl/>
        </w:rPr>
        <w:t xml:space="preserve">בהתאם לפרוגרמות </w:t>
      </w:r>
      <w:r>
        <w:rPr>
          <w:rFonts w:ascii="Albertus Medium" w:hAnsi="Albertus Medium" w:cs="David Transparent" w:hint="cs"/>
          <w:sz w:val="20"/>
          <w:szCs w:val="20"/>
          <w:rtl/>
        </w:rPr>
        <w:t>בקישור באתר.</w:t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sz w:val="20"/>
          <w:szCs w:val="20"/>
          <w:rtl/>
        </w:rPr>
      </w:pPr>
      <w:r>
        <w:rPr>
          <w:rFonts w:ascii="Albertus Medium" w:hAnsi="Albertus Medium" w:cs="David Transparent" w:hint="cs"/>
          <w:b/>
          <w:bCs/>
          <w:sz w:val="20"/>
          <w:szCs w:val="20"/>
          <w:rtl/>
        </w:rPr>
        <w:t>*</w:t>
      </w:r>
      <w:r w:rsidR="003A53AD">
        <w:rPr>
          <w:rFonts w:ascii="Albertus Medium" w:hAnsi="Albertus Medium" w:cs="David Transparent" w:hint="cs"/>
          <w:b/>
          <w:bCs/>
          <w:sz w:val="20"/>
          <w:szCs w:val="20"/>
          <w:rtl/>
        </w:rPr>
        <w:t>*</w:t>
      </w:r>
      <w:r>
        <w:rPr>
          <w:rFonts w:ascii="Albertus Medium" w:hAnsi="Albertus Medium" w:cs="David Transparent" w:hint="cs"/>
          <w:b/>
          <w:bCs/>
          <w:sz w:val="20"/>
          <w:szCs w:val="20"/>
          <w:rtl/>
        </w:rPr>
        <w:t xml:space="preserve"> </w:t>
      </w:r>
      <w:r>
        <w:rPr>
          <w:rFonts w:ascii="Albertus Medium" w:hAnsi="Albertus Medium" w:cs="David Transparent" w:hint="cs"/>
          <w:sz w:val="20"/>
          <w:szCs w:val="20"/>
          <w:rtl/>
        </w:rPr>
        <w:t>אזורי עימות הנמצאים באשכול 5 יקבלו סיוע של 90%.</w:t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u w:val="single"/>
          <w:rtl/>
        </w:rPr>
      </w:pPr>
      <w:r>
        <w:rPr>
          <w:rFonts w:ascii="Albertus Medium" w:hAnsi="Albertus Medium" w:cs="David Transparent" w:hint="cs"/>
          <w:b/>
          <w:bCs/>
          <w:u w:val="single"/>
          <w:rtl/>
        </w:rPr>
        <w:t>ג. סיוע למועדונים מועשרים</w:t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9"/>
        <w:gridCol w:w="4858"/>
        <w:gridCol w:w="5222"/>
      </w:tblGrid>
      <w:tr w:rsidR="00B00645" w:rsidTr="00B00645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תחומי הסיוע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אחוז הסיוע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תנאי הסיוע</w:t>
            </w:r>
          </w:p>
        </w:tc>
      </w:tr>
      <w:tr w:rsidR="00B00645" w:rsidTr="00B00645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1. חידוש ציוד.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2. הנגשה רב חושית ופיזית.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3. שדרוג יחידות שירותים.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4. שדרוג מטבחונים.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0645" w:rsidRDefault="00B00645">
            <w:pPr>
              <w:tabs>
                <w:tab w:val="left" w:pos="3158"/>
              </w:tabs>
              <w:ind w:right="734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1. גובה סיוע עד 300,000 ש"ח.</w:t>
            </w:r>
          </w:p>
          <w:p w:rsidR="00B00645" w:rsidRDefault="00B00645">
            <w:pPr>
              <w:tabs>
                <w:tab w:val="left" w:pos="3158"/>
              </w:tabs>
              <w:ind w:right="734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2. אחוז סיוע על פי רמת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למ"ס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.</w:t>
            </w:r>
          </w:p>
          <w:p w:rsidR="00B00645" w:rsidRDefault="00B00645">
            <w:pPr>
              <w:tabs>
                <w:tab w:val="left" w:pos="3158"/>
              </w:tabs>
              <w:ind w:right="734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</w:p>
          <w:p w:rsidR="00B00645" w:rsidRDefault="00B00645">
            <w:pPr>
              <w:tabs>
                <w:tab w:val="left" w:pos="3158"/>
              </w:tabs>
              <w:ind w:right="734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בהתאם לאשכולות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למ"ס</w:t>
            </w:r>
            <w:proofErr w:type="spellEnd"/>
          </w:p>
          <w:p w:rsidR="00B00645" w:rsidRDefault="00B00645">
            <w:pPr>
              <w:tabs>
                <w:tab w:val="left" w:pos="3158"/>
              </w:tabs>
              <w:ind w:right="734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1-4 – 90%</w:t>
            </w:r>
          </w:p>
          <w:p w:rsidR="00B00645" w:rsidRDefault="00B00645">
            <w:pPr>
              <w:tabs>
                <w:tab w:val="left" w:pos="3158"/>
              </w:tabs>
              <w:ind w:right="734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5-7 – 80%</w:t>
            </w:r>
          </w:p>
          <w:p w:rsidR="00B00645" w:rsidRDefault="00B00645">
            <w:pPr>
              <w:tabs>
                <w:tab w:val="left" w:pos="3158"/>
              </w:tabs>
              <w:ind w:right="734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8-10 – 70%</w:t>
            </w:r>
          </w:p>
          <w:p w:rsidR="00B00645" w:rsidRDefault="00B00645">
            <w:pPr>
              <w:tabs>
                <w:tab w:val="left" w:pos="3158"/>
              </w:tabs>
              <w:ind w:right="734"/>
              <w:rPr>
                <w:rFonts w:ascii="Albertus Medium" w:hAnsi="Albertus Medium" w:cs="David Transparent"/>
                <w:sz w:val="20"/>
                <w:szCs w:val="20"/>
              </w:rPr>
            </w:pP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באגום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משאבים 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1. מופעלים על ידי רשות/גוף ציבורי.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2. לפחות 10 זכאי חוק סיעוד פועלים במקום, למעט אשכולות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למ"ס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1-4 שם יתאפשר עד 5 זכאי </w:t>
            </w:r>
            <w:proofErr w:type="spellStart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חב"ס</w:t>
            </w:r>
            <w:proofErr w:type="spellEnd"/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.</w:t>
            </w:r>
          </w:p>
          <w:p w:rsidR="00B00645" w:rsidRDefault="00B00645" w:rsidP="00D7249E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3. </w:t>
            </w:r>
            <w:r w:rsidR="00D7249E"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חוות דעת</w:t>
            </w: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 xml:space="preserve"> משרד הרווחה.</w:t>
            </w:r>
          </w:p>
        </w:tc>
      </w:tr>
    </w:tbl>
    <w:p w:rsidR="00B00645" w:rsidRDefault="00B00645" w:rsidP="00B00645">
      <w:pPr>
        <w:rPr>
          <w:rtl/>
        </w:rPr>
      </w:pPr>
    </w:p>
    <w:p w:rsidR="00B00645" w:rsidRDefault="00B00645" w:rsidP="00B00645">
      <w:pPr>
        <w:jc w:val="both"/>
        <w:rPr>
          <w:rFonts w:cs="David"/>
          <w:b/>
          <w:bCs/>
          <w:sz w:val="32"/>
          <w:szCs w:val="32"/>
          <w:u w:val="single"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u w:val="single"/>
          <w:rtl/>
        </w:rPr>
      </w:pPr>
      <w:r>
        <w:rPr>
          <w:rFonts w:ascii="Albertus Medium" w:hAnsi="Albertus Medium" w:cs="David Transparent" w:hint="cs"/>
          <w:b/>
          <w:bCs/>
          <w:u w:val="single"/>
          <w:rtl/>
        </w:rPr>
        <w:t>ד. סיוע לניידות שיניים</w:t>
      </w: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b/>
          <w:bCs/>
          <w:sz w:val="20"/>
          <w:szCs w:val="20"/>
          <w:u w:val="single"/>
          <w:rtl/>
        </w:rPr>
      </w:pPr>
    </w:p>
    <w:p w:rsidR="00B00645" w:rsidRDefault="00B00645" w:rsidP="00B00645">
      <w:pPr>
        <w:tabs>
          <w:tab w:val="left" w:pos="3158"/>
        </w:tabs>
        <w:ind w:right="1800"/>
        <w:rPr>
          <w:rFonts w:ascii="Albertus Medium" w:hAnsi="Albertus Medium" w:cs="David Transparent"/>
          <w:rtl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89"/>
        <w:gridCol w:w="4858"/>
        <w:gridCol w:w="5222"/>
      </w:tblGrid>
      <w:tr w:rsidR="00B00645" w:rsidTr="00B00645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תחומי הסיוע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אחוז הסיוע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1800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תנאי הסיוע</w:t>
            </w:r>
          </w:p>
        </w:tc>
      </w:tr>
      <w:tr w:rsidR="00B00645" w:rsidTr="00B00645">
        <w:tc>
          <w:tcPr>
            <w:tcW w:w="3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  <w:rtl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1. רכישת רכב.</w:t>
            </w:r>
          </w:p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2. רכישת ציוד לא מתכלה.</w:t>
            </w:r>
          </w:p>
        </w:tc>
        <w:tc>
          <w:tcPr>
            <w:tcW w:w="4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34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75% מעלות הרכב והציוד</w:t>
            </w:r>
          </w:p>
        </w:tc>
        <w:tc>
          <w:tcPr>
            <w:tcW w:w="5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645" w:rsidRDefault="00B00645">
            <w:pPr>
              <w:tabs>
                <w:tab w:val="left" w:pos="3158"/>
              </w:tabs>
              <w:ind w:right="72"/>
              <w:rPr>
                <w:rFonts w:ascii="Albertus Medium" w:hAnsi="Albertus Medium" w:cs="David Transparent"/>
                <w:sz w:val="20"/>
                <w:szCs w:val="20"/>
              </w:rPr>
            </w:pPr>
            <w:r>
              <w:rPr>
                <w:rFonts w:ascii="Albertus Medium" w:hAnsi="Albertus Medium" w:cs="David Transparent" w:hint="cs"/>
                <w:sz w:val="20"/>
                <w:szCs w:val="20"/>
                <w:rtl/>
              </w:rPr>
              <w:t>התקבל אישור והמלצת אגף בריאות השן משרד הבריאות הגוף מבקש הינו עמותה ציבורית</w:t>
            </w:r>
          </w:p>
        </w:tc>
      </w:tr>
    </w:tbl>
    <w:p w:rsidR="00B00645" w:rsidRDefault="00B00645" w:rsidP="00B00645">
      <w:pPr>
        <w:jc w:val="both"/>
        <w:rPr>
          <w:rFonts w:cs="David"/>
          <w:b/>
          <w:bCs/>
          <w:sz w:val="32"/>
          <w:szCs w:val="32"/>
          <w:u w:val="single"/>
          <w:rtl/>
        </w:rPr>
        <w:sectPr w:rsidR="00B00645" w:rsidSect="00B00645">
          <w:footerReference w:type="default" r:id="rId8"/>
          <w:pgSz w:w="16838" w:h="11906" w:orient="landscape"/>
          <w:pgMar w:top="1797" w:right="1440" w:bottom="1797" w:left="1440" w:header="709" w:footer="709" w:gutter="0"/>
          <w:cols w:space="708"/>
          <w:bidi/>
          <w:rtlGutter/>
          <w:docGrid w:linePitch="360"/>
        </w:sectPr>
      </w:pPr>
    </w:p>
    <w:p w:rsidR="0037532E" w:rsidRDefault="0037532E" w:rsidP="00D7249E"/>
    <w:sectPr w:rsidR="0037532E" w:rsidSect="00A54B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4610" w:rsidRDefault="00414610" w:rsidP="00D7249E">
      <w:r>
        <w:separator/>
      </w:r>
    </w:p>
  </w:endnote>
  <w:endnote w:type="continuationSeparator" w:id="0">
    <w:p w:rsidR="00414610" w:rsidRDefault="00414610" w:rsidP="00D724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lbertus Medium">
    <w:altName w:val="Candara"/>
    <w:charset w:val="00"/>
    <w:family w:val="swiss"/>
    <w:pitch w:val="variable"/>
    <w:sig w:usb0="00000001" w:usb1="00000000" w:usb2="00000000" w:usb3="00000000" w:csb0="00000093" w:csb1="00000000"/>
  </w:font>
  <w:font w:name="David Transparent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-1303074646"/>
      <w:docPartObj>
        <w:docPartGallery w:val="Page Numbers (Bottom of Page)"/>
        <w:docPartUnique/>
      </w:docPartObj>
    </w:sdtPr>
    <w:sdtEndPr>
      <w:rPr>
        <w:noProof/>
        <w:sz w:val="16"/>
        <w:szCs w:val="16"/>
        <w:lang w:val="he-IL"/>
      </w:rPr>
    </w:sdtEndPr>
    <w:sdtContent>
      <w:p w:rsidR="00D7249E" w:rsidRPr="00E01395" w:rsidRDefault="00D7249E" w:rsidP="00E01395">
        <w:pPr>
          <w:pStyle w:val="a5"/>
          <w:jc w:val="right"/>
          <w:rPr>
            <w:sz w:val="16"/>
            <w:szCs w:val="16"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0175A" w:rsidRPr="00F0175A">
          <w:rPr>
            <w:rFonts w:cs="Calibri"/>
            <w:noProof/>
            <w:rtl/>
            <w:lang w:val="he-IL"/>
          </w:rPr>
          <w:t>5</w:t>
        </w:r>
        <w:r>
          <w:rPr>
            <w:noProof/>
            <w:lang w:val="he-IL"/>
          </w:rPr>
          <w:fldChar w:fldCharType="end"/>
        </w:r>
        <w:r w:rsidR="00E01395">
          <w:rPr>
            <w:rFonts w:hint="cs"/>
            <w:noProof/>
            <w:rtl/>
            <w:lang w:val="he-IL"/>
          </w:rPr>
          <w:t xml:space="preserve">                                                                                                                               </w:t>
        </w:r>
        <w:r>
          <w:rPr>
            <w:rFonts w:hint="cs"/>
            <w:noProof/>
            <w:rtl/>
            <w:lang w:val="he-IL"/>
          </w:rPr>
          <w:tab/>
        </w:r>
        <w:r w:rsidR="00E01395" w:rsidRPr="00E01395">
          <w:rPr>
            <w:noProof/>
            <w:sz w:val="16"/>
            <w:szCs w:val="16"/>
            <w:rtl/>
            <w:lang w:val="he-IL"/>
          </w:rPr>
          <w:fldChar w:fldCharType="begin"/>
        </w:r>
        <w:r w:rsidR="00E01395" w:rsidRPr="00E01395">
          <w:rPr>
            <w:noProof/>
            <w:sz w:val="16"/>
            <w:szCs w:val="16"/>
            <w:rtl/>
            <w:lang w:val="he-IL"/>
          </w:rPr>
          <w:instrText xml:space="preserve"> </w:instrText>
        </w:r>
        <w:r w:rsidR="00E01395" w:rsidRPr="00E01395">
          <w:rPr>
            <w:rFonts w:hint="cs"/>
            <w:noProof/>
            <w:sz w:val="16"/>
            <w:szCs w:val="16"/>
            <w:rtl/>
            <w:lang w:val="he-IL"/>
          </w:rPr>
          <w:instrText>FILENAME  \p  \* MERGEFORMAT</w:instrText>
        </w:r>
        <w:r w:rsidR="00E01395" w:rsidRPr="00E01395">
          <w:rPr>
            <w:noProof/>
            <w:sz w:val="16"/>
            <w:szCs w:val="16"/>
            <w:rtl/>
            <w:lang w:val="he-IL"/>
          </w:rPr>
          <w:instrText xml:space="preserve"> </w:instrText>
        </w:r>
        <w:r w:rsidR="00E01395" w:rsidRPr="00E01395">
          <w:rPr>
            <w:noProof/>
            <w:sz w:val="16"/>
            <w:szCs w:val="16"/>
            <w:rtl/>
            <w:lang w:val="he-IL"/>
          </w:rPr>
          <w:fldChar w:fldCharType="separate"/>
        </w:r>
        <w:r w:rsidR="00093DE0">
          <w:rPr>
            <w:noProof/>
            <w:sz w:val="16"/>
            <w:szCs w:val="16"/>
            <w:rtl/>
            <w:lang w:val="he-IL"/>
          </w:rPr>
          <w:t>W:\Kranot\KerenSiud\שונות\שונות 2014\סל שירותי סיוע בקרן סיעוד - גרסה מעודכנת ל-12.2013.docx</w:t>
        </w:r>
        <w:r w:rsidR="00E01395" w:rsidRPr="00E01395">
          <w:rPr>
            <w:noProof/>
            <w:sz w:val="16"/>
            <w:szCs w:val="16"/>
            <w:rtl/>
            <w:lang w:val="he-IL"/>
          </w:rPr>
          <w:fldChar w:fldCharType="end"/>
        </w:r>
      </w:p>
    </w:sdtContent>
  </w:sdt>
  <w:p w:rsidR="00D7249E" w:rsidRDefault="00D724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4610" w:rsidRDefault="00414610" w:rsidP="00D7249E">
      <w:r>
        <w:separator/>
      </w:r>
    </w:p>
  </w:footnote>
  <w:footnote w:type="continuationSeparator" w:id="0">
    <w:p w:rsidR="00414610" w:rsidRDefault="00414610" w:rsidP="00D7249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363F75"/>
    <w:multiLevelType w:val="hybridMultilevel"/>
    <w:tmpl w:val="75023DC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23787"/>
    <w:multiLevelType w:val="hybridMultilevel"/>
    <w:tmpl w:val="071630F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0645"/>
    <w:rsid w:val="00093DE0"/>
    <w:rsid w:val="0037532E"/>
    <w:rsid w:val="003A53AD"/>
    <w:rsid w:val="00414610"/>
    <w:rsid w:val="00635FAF"/>
    <w:rsid w:val="00A54BB3"/>
    <w:rsid w:val="00B00645"/>
    <w:rsid w:val="00BD308C"/>
    <w:rsid w:val="00D7249E"/>
    <w:rsid w:val="00E01395"/>
    <w:rsid w:val="00F01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49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D7249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7249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D7249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064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249E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D7249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D7249E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D724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3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ustomXml" Target="../customXml/item1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13EF99658E134C49A3D40E92B22F425C" ma:contentTypeVersion="1" ma:contentTypeDescription="צור מסמך חדש." ma:contentTypeScope="" ma:versionID="eb2bf5f4b056da60a191a86f82833f44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8da46b6ae811ef844734bd8bf08ae2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CE35A80-45CA-4E16-B87A-9192DDB0ADB4}"/>
</file>

<file path=customXml/itemProps2.xml><?xml version="1.0" encoding="utf-8"?>
<ds:datastoreItem xmlns:ds="http://schemas.openxmlformats.org/officeDocument/2006/customXml" ds:itemID="{16CC8E42-7993-49B5-8B52-8A1DE0E4B3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988</Words>
  <Characters>4941</Characters>
  <Application>Microsoft Office Word</Application>
  <DocSecurity>0</DocSecurity>
  <Lines>41</Lines>
  <Paragraphs>11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>BTL</Company>
  <LinksUpToDate>false</LinksUpToDate>
  <CharactersWithSpaces>5918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</dc:creator>
  <cp:lastModifiedBy>al</cp:lastModifiedBy>
  <cp:revision>2</cp:revision>
  <cp:lastPrinted>2014-03-16T09:45:00Z</cp:lastPrinted>
  <dcterms:created xsi:type="dcterms:W3CDTF">2014-07-02T06:06:00Z</dcterms:created>
  <dcterms:modified xsi:type="dcterms:W3CDTF">2014-07-02T06:06:00Z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0x01010013EF99658E134C49A3D40E92B22F425C</vt:lpwstr>
  </property>
</Properties>
</file>